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Look w:val="04A0" w:firstRow="1" w:lastRow="0" w:firstColumn="1" w:lastColumn="0" w:noHBand="0" w:noVBand="1"/>
      </w:tblPr>
      <w:tblGrid>
        <w:gridCol w:w="10632"/>
      </w:tblGrid>
      <w:tr w:rsidR="00686C8B" w:rsidRPr="00073C73" w:rsidTr="00686C8B">
        <w:trPr>
          <w:jc w:val="center"/>
        </w:trPr>
        <w:tc>
          <w:tcPr>
            <w:tcW w:w="10632" w:type="dxa"/>
            <w:shd w:val="clear" w:color="auto" w:fill="auto"/>
          </w:tcPr>
          <w:p w:rsidR="00686C8B" w:rsidRPr="00073C73" w:rsidRDefault="00686C8B" w:rsidP="00482A7E">
            <w:pPr>
              <w:ind w:leftChars="193" w:left="463" w:rightChars="189" w:right="454"/>
              <w:jc w:val="center"/>
              <w:rPr>
                <w:rFonts w:ascii="標楷體" w:eastAsia="標楷體" w:hAnsi="標楷體"/>
                <w:sz w:val="32"/>
                <w:szCs w:val="30"/>
              </w:rPr>
            </w:pPr>
            <w:bookmarkStart w:id="0" w:name="_GoBack"/>
            <w:bookmarkEnd w:id="0"/>
            <w:r w:rsidRPr="00073C73">
              <w:rPr>
                <w:rFonts w:ascii="標楷體" w:eastAsia="標楷體" w:hAnsi="標楷體" w:hint="eastAsia"/>
                <w:sz w:val="32"/>
                <w:szCs w:val="30"/>
              </w:rPr>
              <w:t>國立政治大學教育行政與政策研究所研究生獎助學金實施辦法</w:t>
            </w:r>
          </w:p>
          <w:p w:rsidR="00686C8B" w:rsidRPr="00073C73" w:rsidRDefault="00686C8B" w:rsidP="00482A7E">
            <w:pPr>
              <w:snapToGrid w:val="0"/>
              <w:ind w:leftChars="193" w:left="463" w:rightChars="189" w:right="454"/>
              <w:jc w:val="right"/>
              <w:rPr>
                <w:rFonts w:ascii="標楷體" w:eastAsia="標楷體" w:hAnsi="標楷體"/>
                <w:sz w:val="20"/>
                <w:szCs w:val="30"/>
              </w:rPr>
            </w:pPr>
            <w:r w:rsidRPr="00073C73">
              <w:rPr>
                <w:rFonts w:ascii="標楷體" w:eastAsia="標楷體" w:hAnsi="標楷體" w:hint="eastAsia"/>
                <w:sz w:val="20"/>
                <w:szCs w:val="30"/>
              </w:rPr>
              <w:t>94年10月27日第2次所務會議通過</w:t>
            </w:r>
          </w:p>
          <w:p w:rsidR="00686C8B" w:rsidRPr="00073C73" w:rsidRDefault="00686C8B" w:rsidP="00482A7E">
            <w:pPr>
              <w:snapToGrid w:val="0"/>
              <w:ind w:leftChars="193" w:left="463" w:rightChars="189" w:right="454"/>
              <w:jc w:val="right"/>
              <w:rPr>
                <w:rFonts w:ascii="標楷體" w:eastAsia="標楷體" w:hAnsi="標楷體"/>
                <w:sz w:val="20"/>
                <w:szCs w:val="30"/>
              </w:rPr>
            </w:pPr>
            <w:r w:rsidRPr="00073C73">
              <w:rPr>
                <w:rFonts w:ascii="標楷體" w:eastAsia="標楷體" w:hAnsi="標楷體" w:hint="eastAsia"/>
                <w:sz w:val="20"/>
                <w:szCs w:val="30"/>
              </w:rPr>
              <w:t>101年10月11日第34次所務會議通過修正第5、6條</w:t>
            </w:r>
          </w:p>
          <w:p w:rsidR="00686C8B" w:rsidRPr="00073C73" w:rsidRDefault="00686C8B" w:rsidP="00482A7E">
            <w:pPr>
              <w:wordWrap w:val="0"/>
              <w:snapToGrid w:val="0"/>
              <w:ind w:leftChars="193" w:left="463" w:rightChars="189" w:right="454"/>
              <w:jc w:val="right"/>
              <w:rPr>
                <w:rFonts w:ascii="標楷體" w:eastAsia="標楷體" w:hAnsi="標楷體"/>
                <w:sz w:val="20"/>
                <w:szCs w:val="30"/>
              </w:rPr>
            </w:pPr>
            <w:r w:rsidRPr="00073C73">
              <w:rPr>
                <w:rFonts w:ascii="標楷體" w:eastAsia="標楷體" w:hAnsi="標楷體" w:hint="eastAsia"/>
                <w:sz w:val="20"/>
                <w:szCs w:val="30"/>
              </w:rPr>
              <w:t>105年5月23日第49次所務會議通過修正名稱與第7條</w:t>
            </w:r>
          </w:p>
          <w:p w:rsidR="00686C8B" w:rsidRPr="00073C73" w:rsidRDefault="00686C8B" w:rsidP="00482A7E">
            <w:pPr>
              <w:wordWrap w:val="0"/>
              <w:snapToGrid w:val="0"/>
              <w:ind w:leftChars="193" w:left="463" w:rightChars="189" w:right="454"/>
              <w:jc w:val="right"/>
              <w:rPr>
                <w:rFonts w:ascii="標楷體" w:eastAsia="標楷體" w:hAnsi="標楷體"/>
                <w:sz w:val="20"/>
                <w:szCs w:val="30"/>
              </w:rPr>
            </w:pPr>
            <w:r w:rsidRPr="00073C73">
              <w:rPr>
                <w:rFonts w:ascii="標楷體" w:eastAsia="標楷體" w:hAnsi="標楷體" w:hint="eastAsia"/>
                <w:sz w:val="20"/>
                <w:szCs w:val="30"/>
              </w:rPr>
              <w:t>106年5月4日第52次所務會議通過修正第1、6、9條</w:t>
            </w:r>
          </w:p>
          <w:p w:rsidR="00686C8B" w:rsidRDefault="00686C8B" w:rsidP="00482A7E">
            <w:pPr>
              <w:snapToGrid w:val="0"/>
              <w:ind w:leftChars="193" w:left="463" w:rightChars="189" w:right="454"/>
              <w:jc w:val="right"/>
              <w:rPr>
                <w:rFonts w:ascii="標楷體" w:eastAsia="標楷體" w:hAnsi="標楷體"/>
                <w:sz w:val="20"/>
                <w:szCs w:val="30"/>
              </w:rPr>
            </w:pPr>
            <w:r w:rsidRPr="00073C73">
              <w:rPr>
                <w:rFonts w:ascii="標楷體" w:eastAsia="標楷體" w:hAnsi="標楷體" w:hint="eastAsia"/>
                <w:sz w:val="20"/>
                <w:szCs w:val="30"/>
              </w:rPr>
              <w:t>106年5月23日第85次院務會議備查</w:t>
            </w:r>
          </w:p>
          <w:p w:rsidR="00686C8B" w:rsidRPr="00073C73" w:rsidRDefault="00686C8B" w:rsidP="00482A7E">
            <w:pPr>
              <w:snapToGrid w:val="0"/>
              <w:ind w:leftChars="193" w:left="463" w:rightChars="189" w:right="454"/>
              <w:jc w:val="right"/>
              <w:rPr>
                <w:rFonts w:ascii="標楷體" w:eastAsia="標楷體" w:hAnsi="標楷體" w:hint="eastAsia"/>
                <w:sz w:val="20"/>
                <w:szCs w:val="30"/>
              </w:rPr>
            </w:pPr>
            <w:r>
              <w:rPr>
                <w:rFonts w:ascii="標楷體" w:eastAsia="標楷體" w:hAnsi="標楷體" w:hint="eastAsia"/>
                <w:sz w:val="20"/>
                <w:szCs w:val="30"/>
              </w:rPr>
              <w:t>107年6月12日第57次所務會議通過修正第6、7條</w:t>
            </w:r>
          </w:p>
          <w:p w:rsidR="00686C8B" w:rsidRPr="00073C73" w:rsidRDefault="00686C8B" w:rsidP="00482A7E">
            <w:pPr>
              <w:snapToGrid w:val="0"/>
              <w:ind w:leftChars="193" w:left="463" w:rightChars="189" w:right="454"/>
              <w:jc w:val="right"/>
              <w:rPr>
                <w:rFonts w:ascii="標楷體" w:eastAsia="標楷體" w:hAnsi="標楷體" w:hint="eastAsia"/>
                <w:sz w:val="20"/>
                <w:szCs w:val="30"/>
              </w:rPr>
            </w:pPr>
            <w:r>
              <w:rPr>
                <w:rFonts w:ascii="標楷體" w:eastAsia="標楷體" w:hAnsi="標楷體" w:hint="eastAsia"/>
                <w:sz w:val="20"/>
                <w:szCs w:val="30"/>
              </w:rPr>
              <w:t>107年6月12日第</w:t>
            </w:r>
            <w:r>
              <w:rPr>
                <w:rFonts w:ascii="標楷體" w:eastAsia="標楷體" w:hAnsi="標楷體"/>
                <w:sz w:val="20"/>
                <w:szCs w:val="30"/>
              </w:rPr>
              <w:t>93</w:t>
            </w:r>
            <w:r>
              <w:rPr>
                <w:rFonts w:ascii="標楷體" w:eastAsia="標楷體" w:hAnsi="標楷體" w:hint="eastAsia"/>
                <w:sz w:val="20"/>
                <w:szCs w:val="30"/>
              </w:rPr>
              <w:t>次</w:t>
            </w:r>
            <w:r>
              <w:rPr>
                <w:rFonts w:ascii="標楷體" w:eastAsia="標楷體" w:hAnsi="標楷體"/>
                <w:sz w:val="20"/>
                <w:szCs w:val="30"/>
              </w:rPr>
              <w:t>院</w:t>
            </w:r>
            <w:r>
              <w:rPr>
                <w:rFonts w:ascii="標楷體" w:eastAsia="標楷體" w:hAnsi="標楷體" w:hint="eastAsia"/>
                <w:sz w:val="20"/>
                <w:szCs w:val="30"/>
              </w:rPr>
              <w:t>務會議</w:t>
            </w:r>
            <w:r>
              <w:rPr>
                <w:rFonts w:ascii="標楷體" w:eastAsia="標楷體" w:hAnsi="標楷體"/>
                <w:sz w:val="20"/>
                <w:szCs w:val="30"/>
              </w:rPr>
              <w:t>備查</w:t>
            </w:r>
          </w:p>
          <w:p w:rsidR="00686C8B" w:rsidRPr="006127F3" w:rsidRDefault="00686C8B" w:rsidP="00482A7E">
            <w:pPr>
              <w:wordWrap w:val="0"/>
              <w:snapToGrid w:val="0"/>
              <w:ind w:leftChars="193" w:left="463" w:rightChars="189" w:right="454"/>
              <w:jc w:val="right"/>
              <w:rPr>
                <w:rFonts w:ascii="標楷體" w:eastAsia="標楷體" w:hAnsi="標楷體"/>
              </w:rPr>
            </w:pP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第1條  本辦法依據「國立政治大學研究生獎助學金實施辦法」及「國立政治大學教育學院研究生獎助學金實施辦法」訂定之。</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w:t>
            </w:r>
            <w:r w:rsidRPr="00073C73">
              <w:rPr>
                <w:rFonts w:ascii="標楷體" w:eastAsia="標楷體" w:hAnsi="標楷體"/>
              </w:rPr>
              <w:t>2</w:t>
            </w:r>
            <w:r w:rsidRPr="00073C73">
              <w:rPr>
                <w:rFonts w:ascii="標楷體" w:eastAsia="標楷體" w:hAnsi="標楷體" w:hint="eastAsia"/>
              </w:rPr>
              <w:t>條  本所研究生獎學金評審委員會成員與所務會議成員相同，於所務會議時併同審核給獎事宜。</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w:t>
            </w:r>
            <w:r w:rsidRPr="00073C73">
              <w:rPr>
                <w:rFonts w:ascii="標楷體" w:eastAsia="標楷體" w:hAnsi="標楷體"/>
              </w:rPr>
              <w:t>3</w:t>
            </w:r>
            <w:r w:rsidRPr="00073C73">
              <w:rPr>
                <w:rFonts w:ascii="標楷體" w:eastAsia="標楷體" w:hAnsi="標楷體" w:hint="eastAsia"/>
              </w:rPr>
              <w:t>條  獎學金每學期申請一次，申請人應於每學期開學後一個月內，備妥資料向所辦公室提出申請。</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w:t>
            </w:r>
            <w:r w:rsidRPr="00073C73">
              <w:rPr>
                <w:rFonts w:ascii="標楷體" w:eastAsia="標楷體" w:hAnsi="標楷體"/>
              </w:rPr>
              <w:t>4</w:t>
            </w:r>
            <w:r w:rsidRPr="00073C73">
              <w:rPr>
                <w:rFonts w:ascii="標楷體" w:eastAsia="標楷體" w:hAnsi="標楷體" w:hint="eastAsia"/>
              </w:rPr>
              <w:t>條  新生須附入學考試成績單，其他申請人須附前一學期成績單。各年級申請人若有其他研究成果，亦一併附上。</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w:t>
            </w:r>
            <w:r w:rsidRPr="00073C73">
              <w:rPr>
                <w:rFonts w:ascii="標楷體" w:eastAsia="標楷體" w:hAnsi="標楷體"/>
              </w:rPr>
              <w:t>5</w:t>
            </w:r>
            <w:r w:rsidRPr="00073C73">
              <w:rPr>
                <w:rFonts w:ascii="標楷體" w:eastAsia="標楷體" w:hAnsi="標楷體" w:hint="eastAsia"/>
              </w:rPr>
              <w:t>條  本所獎學金申請者限本所研究生，不包括代訓生、休學生及交換生，並以不重複申請為原則。</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w:t>
            </w:r>
            <w:r w:rsidRPr="00073C73">
              <w:rPr>
                <w:rFonts w:ascii="標楷體" w:eastAsia="標楷體" w:hAnsi="標楷體"/>
              </w:rPr>
              <w:t>6</w:t>
            </w:r>
            <w:r w:rsidRPr="00073C73">
              <w:rPr>
                <w:rFonts w:ascii="標楷體" w:eastAsia="標楷體" w:hAnsi="標楷體" w:hint="eastAsia"/>
              </w:rPr>
              <w:t>條  本所研究生獎學金評審原則如下：</w:t>
            </w:r>
          </w:p>
          <w:p w:rsidR="00686C8B" w:rsidRPr="00073C73" w:rsidRDefault="00686C8B" w:rsidP="00482A7E">
            <w:pPr>
              <w:ind w:leftChars="583" w:left="1867" w:rightChars="189" w:right="454" w:hangingChars="195" w:hanging="468"/>
              <w:rPr>
                <w:rFonts w:ascii="標楷體" w:eastAsia="標楷體" w:hAnsi="標楷體"/>
              </w:rPr>
            </w:pPr>
            <w:r w:rsidRPr="00073C73">
              <w:rPr>
                <w:rFonts w:ascii="標楷體" w:eastAsia="標楷體" w:hAnsi="標楷體" w:hint="eastAsia"/>
              </w:rPr>
              <w:t>一、</w:t>
            </w:r>
            <w:r>
              <w:rPr>
                <w:rFonts w:ascii="標楷體" w:eastAsia="標楷體" w:hAnsi="標楷體" w:hint="eastAsia"/>
              </w:rPr>
              <w:t>志工服務及</w:t>
            </w:r>
            <w:r w:rsidRPr="00073C73">
              <w:rPr>
                <w:rFonts w:ascii="標楷體" w:eastAsia="標楷體" w:hAnsi="標楷體" w:hint="eastAsia"/>
              </w:rPr>
              <w:t>所務參與之情形，包括協助本所教學、研究及行政業務。</w:t>
            </w:r>
          </w:p>
          <w:p w:rsidR="00686C8B" w:rsidRPr="00073C73" w:rsidRDefault="00686C8B" w:rsidP="00482A7E">
            <w:pPr>
              <w:ind w:leftChars="584" w:left="2374" w:rightChars="189" w:right="454" w:hangingChars="405" w:hanging="972"/>
              <w:rPr>
                <w:rFonts w:ascii="標楷體" w:eastAsia="標楷體" w:hAnsi="標楷體" w:hint="eastAsia"/>
              </w:rPr>
            </w:pPr>
            <w:r w:rsidRPr="00073C73">
              <w:rPr>
                <w:rFonts w:ascii="標楷體" w:eastAsia="標楷體" w:hAnsi="標楷體" w:hint="eastAsia"/>
              </w:rPr>
              <w:t>二、學術著作發表與學術研討會活動之參與。</w:t>
            </w:r>
          </w:p>
          <w:p w:rsidR="00686C8B" w:rsidRPr="00073C73" w:rsidRDefault="00686C8B" w:rsidP="00482A7E">
            <w:pPr>
              <w:ind w:leftChars="584" w:left="2374" w:rightChars="189" w:right="454" w:hangingChars="405" w:hanging="972"/>
              <w:rPr>
                <w:rFonts w:ascii="標楷體" w:eastAsia="標楷體" w:hAnsi="標楷體"/>
              </w:rPr>
            </w:pPr>
            <w:r>
              <w:rPr>
                <w:rFonts w:ascii="標楷體" w:eastAsia="標楷體" w:hAnsi="標楷體" w:hint="eastAsia"/>
              </w:rPr>
              <w:t>三</w:t>
            </w:r>
            <w:r w:rsidRPr="00073C73">
              <w:rPr>
                <w:rFonts w:ascii="標楷體" w:eastAsia="標楷體" w:hAnsi="標楷體" w:hint="eastAsia"/>
              </w:rPr>
              <w:t>、外文檢定成績。</w:t>
            </w:r>
          </w:p>
          <w:p w:rsidR="00686C8B" w:rsidRPr="00073C73" w:rsidRDefault="00686C8B" w:rsidP="00482A7E">
            <w:pPr>
              <w:ind w:leftChars="584" w:left="2374" w:rightChars="189" w:right="454" w:hangingChars="405" w:hanging="972"/>
              <w:rPr>
                <w:rFonts w:ascii="標楷體" w:eastAsia="標楷體" w:hAnsi="標楷體"/>
              </w:rPr>
            </w:pPr>
            <w:r>
              <w:rPr>
                <w:rFonts w:ascii="標楷體" w:eastAsia="標楷體" w:hAnsi="標楷體" w:hint="eastAsia"/>
              </w:rPr>
              <w:t>四</w:t>
            </w:r>
            <w:r w:rsidRPr="00073C73">
              <w:rPr>
                <w:rFonts w:ascii="標楷體" w:eastAsia="標楷體" w:hAnsi="標楷體" w:hint="eastAsia"/>
              </w:rPr>
              <w:t>、其他特殊貢獻。</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第7條  本所研究生助學金得支給學習型兼任助理之學習津貼或勞動型兼任助理之薪資，研究生得兼領之。</w:t>
            </w:r>
          </w:p>
          <w:p w:rsidR="00686C8B" w:rsidRPr="00073C73" w:rsidRDefault="00686C8B" w:rsidP="00482A7E">
            <w:pPr>
              <w:ind w:leftChars="193" w:left="1435" w:rightChars="189" w:right="454" w:hangingChars="405" w:hanging="972"/>
              <w:rPr>
                <w:rFonts w:ascii="標楷體" w:eastAsia="標楷體" w:hAnsi="標楷體"/>
              </w:rPr>
            </w:pPr>
            <w:r w:rsidRPr="00073C73">
              <w:rPr>
                <w:rFonts w:ascii="標楷體" w:eastAsia="標楷體" w:hAnsi="標楷體" w:hint="eastAsia"/>
              </w:rPr>
              <w:t xml:space="preserve">        研究生助學金支給勞動型兼任助理薪資時，碩士生每小時金額</w:t>
            </w:r>
            <w:r>
              <w:rPr>
                <w:rFonts w:ascii="標楷體" w:eastAsia="標楷體" w:hAnsi="標楷體" w:hint="eastAsia"/>
              </w:rPr>
              <w:t>依本校相關規定支給</w:t>
            </w:r>
            <w:r w:rsidRPr="00073C73">
              <w:rPr>
                <w:rFonts w:ascii="標楷體" w:eastAsia="標楷體" w:hAnsi="標楷體" w:hint="eastAsia"/>
              </w:rPr>
              <w:t>。</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b/>
                <w:u w:val="single"/>
              </w:rPr>
            </w:pPr>
            <w:r w:rsidRPr="00073C73">
              <w:rPr>
                <w:rFonts w:ascii="標楷體" w:eastAsia="標楷體" w:hAnsi="標楷體" w:hint="eastAsia"/>
              </w:rPr>
              <w:t>第8條  研究生領取助學金者，得兼領獎學金，但不得於領取助學金期間，擔任具全薪之工作，如有違反，取消其資格，並將已領之助學金全數繳回。</w:t>
            </w:r>
          </w:p>
        </w:tc>
      </w:tr>
      <w:tr w:rsidR="00686C8B" w:rsidRPr="00073C73" w:rsidTr="00686C8B">
        <w:trPr>
          <w:jc w:val="center"/>
        </w:trPr>
        <w:tc>
          <w:tcPr>
            <w:tcW w:w="10632" w:type="dxa"/>
            <w:shd w:val="clear" w:color="auto" w:fill="auto"/>
          </w:tcPr>
          <w:p w:rsidR="00686C8B" w:rsidRPr="00073C73" w:rsidRDefault="00686C8B" w:rsidP="00482A7E">
            <w:pPr>
              <w:ind w:leftChars="193" w:left="1435" w:rightChars="189" w:right="454" w:hangingChars="405" w:hanging="972"/>
              <w:rPr>
                <w:rFonts w:ascii="標楷體" w:eastAsia="標楷體" w:hAnsi="標楷體"/>
                <w:b/>
                <w:u w:val="single"/>
              </w:rPr>
            </w:pPr>
            <w:r w:rsidRPr="00073C73">
              <w:rPr>
                <w:rFonts w:ascii="標楷體" w:eastAsia="標楷體" w:hAnsi="標楷體" w:hint="eastAsia"/>
              </w:rPr>
              <w:t xml:space="preserve">第9條 </w:t>
            </w:r>
            <w:r w:rsidRPr="00073C73">
              <w:rPr>
                <w:rFonts w:ascii="標楷體" w:eastAsia="標楷體" w:hAnsi="標楷體"/>
              </w:rPr>
              <w:t xml:space="preserve"> </w:t>
            </w:r>
            <w:r w:rsidRPr="00073C73">
              <w:rPr>
                <w:rFonts w:ascii="標楷體" w:eastAsia="標楷體" w:hAnsi="標楷體" w:hint="eastAsia"/>
              </w:rPr>
              <w:t>本辦法經所務會議通過</w:t>
            </w:r>
            <w:r w:rsidRPr="00073C73">
              <w:rPr>
                <w:rFonts w:ascii="標楷體" w:eastAsia="標楷體" w:hAnsi="標楷體"/>
              </w:rPr>
              <w:t>送院備查</w:t>
            </w:r>
            <w:r w:rsidRPr="00073C73">
              <w:rPr>
                <w:rFonts w:ascii="標楷體" w:eastAsia="標楷體" w:hAnsi="標楷體" w:hint="eastAsia"/>
              </w:rPr>
              <w:t>後實施，修正時亦同。</w:t>
            </w:r>
          </w:p>
        </w:tc>
      </w:tr>
    </w:tbl>
    <w:p w:rsidR="00994F57" w:rsidRPr="00686C8B" w:rsidRDefault="00994F57"/>
    <w:sectPr w:rsidR="00994F57" w:rsidRPr="00686C8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65" w:rsidRDefault="00362265" w:rsidP="00686C8B">
      <w:r>
        <w:separator/>
      </w:r>
    </w:p>
  </w:endnote>
  <w:endnote w:type="continuationSeparator" w:id="0">
    <w:p w:rsidR="00362265" w:rsidRDefault="00362265" w:rsidP="0068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65" w:rsidRDefault="00362265" w:rsidP="00686C8B">
      <w:r>
        <w:separator/>
      </w:r>
    </w:p>
  </w:footnote>
  <w:footnote w:type="continuationSeparator" w:id="0">
    <w:p w:rsidR="00362265" w:rsidRDefault="00362265" w:rsidP="00686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91"/>
    <w:rsid w:val="00362265"/>
    <w:rsid w:val="00686C8B"/>
    <w:rsid w:val="00696A91"/>
    <w:rsid w:val="008E4265"/>
    <w:rsid w:val="00994F57"/>
    <w:rsid w:val="00D95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E41B3-9DF3-4F22-AE3E-79F1B577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C8B"/>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686C8B"/>
    <w:pPr>
      <w:keepNext/>
      <w:spacing w:line="720" w:lineRule="auto"/>
      <w:outlineLvl w:val="1"/>
    </w:pPr>
    <w:rPr>
      <w:rFonts w:ascii="Calibri Light" w:eastAsia="標楷體" w:hAnsi="Calibri Light"/>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brother">
    <w:name w:val="brother"/>
    <w:basedOn w:val="a1"/>
    <w:uiPriority w:val="99"/>
    <w:rsid w:val="008E4265"/>
    <w:pPr>
      <w:jc w:val="center"/>
    </w:pPr>
    <w:rPr>
      <w:rFonts w:eastAsia="標楷體"/>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CC"/>
      </w:tcPr>
    </w:tblStylePr>
    <w:tblStylePr w:type="band2Vert">
      <w:tblPr/>
      <w:tcPr>
        <w:shd w:val="clear" w:color="auto" w:fill="DEEAF6" w:themeFill="accent1" w:themeFillTint="33"/>
      </w:tcPr>
    </w:tblStylePr>
    <w:tblStylePr w:type="band2Horz">
      <w:tblPr/>
      <w:tcPr>
        <w:shd w:val="clear" w:color="auto" w:fill="DEEAF6" w:themeFill="accent1" w:themeFillTint="33"/>
      </w:tcPr>
    </w:tblStylePr>
  </w:style>
  <w:style w:type="paragraph" w:styleId="a3">
    <w:name w:val="header"/>
    <w:basedOn w:val="a"/>
    <w:link w:val="a4"/>
    <w:uiPriority w:val="99"/>
    <w:unhideWhenUsed/>
    <w:rsid w:val="00686C8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86C8B"/>
    <w:rPr>
      <w:sz w:val="20"/>
      <w:szCs w:val="20"/>
    </w:rPr>
  </w:style>
  <w:style w:type="paragraph" w:styleId="a5">
    <w:name w:val="footer"/>
    <w:basedOn w:val="a"/>
    <w:link w:val="a6"/>
    <w:uiPriority w:val="99"/>
    <w:unhideWhenUsed/>
    <w:rsid w:val="00686C8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86C8B"/>
    <w:rPr>
      <w:sz w:val="20"/>
      <w:szCs w:val="20"/>
    </w:rPr>
  </w:style>
  <w:style w:type="character" w:customStyle="1" w:styleId="20">
    <w:name w:val="標題 2 字元"/>
    <w:basedOn w:val="a0"/>
    <w:link w:val="2"/>
    <w:uiPriority w:val="9"/>
    <w:rsid w:val="00686C8B"/>
    <w:rPr>
      <w:rFonts w:ascii="Calibri Light" w:eastAsia="標楷體" w:hAnsi="Calibri Light" w:cs="Times New Roman"/>
      <w:b/>
      <w:bCs/>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2018-06-22T02:56:00Z</dcterms:created>
  <dcterms:modified xsi:type="dcterms:W3CDTF">2018-06-22T02:56:00Z</dcterms:modified>
</cp:coreProperties>
</file>